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76A" w:rsidRDefault="000E376A" w:rsidP="000E376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Tuxedo Farms Sewer District was set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up this year after a </w:t>
      </w:r>
      <w:proofErr w:type="gramStart"/>
      <w:r>
        <w:rPr>
          <w:color w:val="000000"/>
          <w:sz w:val="27"/>
          <w:szCs w:val="27"/>
        </w:rPr>
        <w:t>two year</w:t>
      </w:r>
      <w:proofErr w:type="gramEnd"/>
      <w:r>
        <w:rPr>
          <w:color w:val="000000"/>
          <w:sz w:val="27"/>
          <w:szCs w:val="27"/>
        </w:rPr>
        <w:t xml:space="preserve"> delay</w:t>
      </w:r>
      <w:r>
        <w:rPr>
          <w:color w:val="000000"/>
          <w:sz w:val="27"/>
          <w:szCs w:val="27"/>
        </w:rPr>
        <w:t xml:space="preserve"> and added to the tax roll.</w:t>
      </w:r>
    </w:p>
    <w:p w:rsidR="000E376A" w:rsidRDefault="000E376A" w:rsidP="000E376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 the Special Assessment Report issued by the Tuxedo Local Development Corporation the Special Assessment requirement for 2020 is $ 1,992,261</w:t>
      </w:r>
      <w:r>
        <w:rPr>
          <w:color w:val="000000"/>
          <w:sz w:val="27"/>
          <w:szCs w:val="27"/>
        </w:rPr>
        <w:t xml:space="preserve"> to pay debt service on the $30 million bonds issued by the LDC</w:t>
      </w:r>
      <w:r>
        <w:rPr>
          <w:color w:val="000000"/>
          <w:sz w:val="27"/>
          <w:szCs w:val="27"/>
        </w:rPr>
        <w:t>. There is no relief in the tax cap calculation for bringing new districts on line, as a result the total levy increased from 1.91 % to 34.54 %.</w:t>
      </w:r>
      <w:r w:rsidR="002F557D">
        <w:rPr>
          <w:color w:val="000000"/>
          <w:sz w:val="27"/>
          <w:szCs w:val="27"/>
        </w:rPr>
        <w:t xml:space="preserve"> </w:t>
      </w:r>
    </w:p>
    <w:p w:rsidR="000E376A" w:rsidRDefault="000E376A" w:rsidP="000E376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the past this transaction was billed to the Tax Payer directly, but </w:t>
      </w:r>
      <w:r>
        <w:rPr>
          <w:color w:val="000000"/>
          <w:sz w:val="27"/>
          <w:szCs w:val="27"/>
        </w:rPr>
        <w:t xml:space="preserve">now </w:t>
      </w:r>
      <w:r>
        <w:rPr>
          <w:color w:val="000000"/>
          <w:sz w:val="27"/>
          <w:szCs w:val="27"/>
        </w:rPr>
        <w:t>the transaction is correctly handled via the Tax Collection process.</w:t>
      </w:r>
    </w:p>
    <w:p w:rsidR="000E376A" w:rsidRDefault="000E376A" w:rsidP="000E376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Special Assessment is borne by the 11 parcels owned by Tuxedo Reserve LLC.</w:t>
      </w:r>
    </w:p>
    <w:p w:rsidR="000E376A" w:rsidRDefault="000E376A" w:rsidP="000E376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increase in the total levy for all other parcels in the Town was and remains 1.91%</w:t>
      </w:r>
      <w:r>
        <w:rPr>
          <w:color w:val="000000"/>
          <w:sz w:val="27"/>
          <w:szCs w:val="27"/>
        </w:rPr>
        <w:t>.</w:t>
      </w:r>
    </w:p>
    <w:p w:rsidR="002F557D" w:rsidRDefault="002F557D" w:rsidP="000E376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NYS Comptroller’s Office has advised the Town Board that the tax cap override will not impact STAR rebates for Tuxedo residents which had been the Board’s primary concern.</w:t>
      </w:r>
    </w:p>
    <w:p w:rsidR="00761155" w:rsidRDefault="00761155">
      <w:bookmarkStart w:id="0" w:name="_GoBack"/>
      <w:bookmarkEnd w:id="0"/>
    </w:p>
    <w:sectPr w:rsidR="00761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6A"/>
    <w:rsid w:val="000E376A"/>
    <w:rsid w:val="002F557D"/>
    <w:rsid w:val="0076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89BD"/>
  <w15:chartTrackingRefBased/>
  <w15:docId w15:val="{D89446CD-F33C-4533-B910-7613C15A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</dc:creator>
  <cp:keywords/>
  <dc:description/>
  <cp:lastModifiedBy>Jake</cp:lastModifiedBy>
  <cp:revision>2</cp:revision>
  <dcterms:created xsi:type="dcterms:W3CDTF">2019-11-22T00:55:00Z</dcterms:created>
  <dcterms:modified xsi:type="dcterms:W3CDTF">2019-11-22T01:01:00Z</dcterms:modified>
</cp:coreProperties>
</file>